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3900" w14:textId="77777777" w:rsidR="00790730" w:rsidRPr="006D3951" w:rsidRDefault="0028042D" w:rsidP="006D39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Уважаемые председатели и члены государственной аттестационной комиссии</w:t>
      </w:r>
      <w:r w:rsidR="00790730" w:rsidRPr="006D3951">
        <w:rPr>
          <w:rFonts w:ascii="Times New Roman" w:hAnsi="Times New Roman" w:cs="Times New Roman"/>
          <w:sz w:val="24"/>
          <w:szCs w:val="24"/>
        </w:rPr>
        <w:t xml:space="preserve">! Вашему вниманию предлагается выпускная квалификационная работа на тему </w:t>
      </w:r>
      <w:r w:rsidR="00790730" w:rsidRPr="006D3951">
        <w:rPr>
          <w:rFonts w:ascii="Times New Roman" w:hAnsi="Times New Roman" w:cs="Times New Roman"/>
          <w:b/>
          <w:sz w:val="24"/>
          <w:szCs w:val="24"/>
        </w:rPr>
        <w:t xml:space="preserve">«Место стратегического планирования и прогнозирования в экономической деятельности </w:t>
      </w:r>
      <w:r w:rsidR="001623A4">
        <w:rPr>
          <w:rFonts w:ascii="Times New Roman" w:hAnsi="Times New Roman" w:cs="Times New Roman"/>
          <w:b/>
          <w:sz w:val="24"/>
          <w:szCs w:val="24"/>
        </w:rPr>
        <w:t>организации</w:t>
      </w:r>
      <w:r w:rsidR="00790730" w:rsidRPr="006D3951">
        <w:rPr>
          <w:rFonts w:ascii="Times New Roman" w:hAnsi="Times New Roman" w:cs="Times New Roman"/>
          <w:b/>
          <w:sz w:val="24"/>
          <w:szCs w:val="24"/>
        </w:rPr>
        <w:t>»</w:t>
      </w:r>
      <w:r w:rsidR="00790730" w:rsidRPr="006D3951">
        <w:rPr>
          <w:rFonts w:ascii="Times New Roman" w:hAnsi="Times New Roman" w:cs="Times New Roman"/>
          <w:sz w:val="24"/>
          <w:szCs w:val="24"/>
        </w:rPr>
        <w:t xml:space="preserve">. Исследование выполнено на примере АО «Солид Банк» – регионального банка, работающего на Дальнем Востоке. Выбор темы не случаен: в условиях жёсткой денежно-кредитной политики и </w:t>
      </w:r>
      <w:r w:rsidR="00903524">
        <w:rPr>
          <w:rFonts w:ascii="Times New Roman" w:hAnsi="Times New Roman" w:cs="Times New Roman"/>
          <w:sz w:val="24"/>
          <w:szCs w:val="24"/>
        </w:rPr>
        <w:t>цифрового превосходства</w:t>
      </w:r>
      <w:r w:rsidR="00790730" w:rsidRPr="006D3951">
        <w:rPr>
          <w:rFonts w:ascii="Times New Roman" w:hAnsi="Times New Roman" w:cs="Times New Roman"/>
          <w:sz w:val="24"/>
          <w:szCs w:val="24"/>
        </w:rPr>
        <w:t xml:space="preserve"> федеральных игроков региональные банки вынуждены искать новые модели развития, и именно стратегическое планирование становится ключевым инструментом такой адаптации.</w:t>
      </w:r>
    </w:p>
    <w:p w14:paraId="371DA5C5" w14:textId="77777777" w:rsidR="00903524" w:rsidRPr="008A2D26" w:rsidRDefault="00790730" w:rsidP="00903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951">
        <w:rPr>
          <w:rFonts w:ascii="Times New Roman" w:hAnsi="Times New Roman" w:cs="Times New Roman"/>
          <w:sz w:val="24"/>
          <w:szCs w:val="24"/>
        </w:rPr>
        <w:t xml:space="preserve">Финансовый анализ за 2021–2025 годы показал, что банк демонстрирует впечатляющий рост: активы увеличились в 4,5 раза, чистая прибыль – в 11,8 </w:t>
      </w:r>
      <w:r w:rsidR="0028042D">
        <w:rPr>
          <w:rFonts w:ascii="Times New Roman" w:hAnsi="Times New Roman" w:cs="Times New Roman"/>
          <w:sz w:val="24"/>
          <w:szCs w:val="24"/>
        </w:rPr>
        <w:t xml:space="preserve">раз. </w:t>
      </w:r>
      <w:r w:rsidRPr="006D3951">
        <w:rPr>
          <w:rFonts w:ascii="Times New Roman" w:hAnsi="Times New Roman" w:cs="Times New Roman"/>
          <w:sz w:val="24"/>
          <w:szCs w:val="24"/>
        </w:rPr>
        <w:t xml:space="preserve">Рентабельность капитала достигла 80,6 процента, норматив достаточности капитала – 20,6 процента при минимальном пороге 8 процентов. Однако за этими высокими показателями скрываются две системные проблемы. Первая – повышенный уровень просроченной задолженности, около 7 процентов, что почти вдвое превышает </w:t>
      </w:r>
      <w:r w:rsidRPr="00080188">
        <w:rPr>
          <w:rFonts w:ascii="Times New Roman" w:hAnsi="Times New Roman" w:cs="Times New Roman"/>
          <w:sz w:val="24"/>
          <w:szCs w:val="24"/>
          <w:u w:val="single"/>
        </w:rPr>
        <w:t>среднеотраслевой уровень</w:t>
      </w:r>
      <w:r w:rsidR="008A2D26" w:rsidRPr="00080188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1</w:t>
      </w:r>
      <w:r w:rsidR="008A2D26">
        <w:rPr>
          <w:rFonts w:ascii="Times New Roman" w:hAnsi="Times New Roman" w:cs="Times New Roman"/>
          <w:sz w:val="24"/>
          <w:szCs w:val="24"/>
        </w:rPr>
        <w:t>.</w:t>
      </w:r>
    </w:p>
    <w:p w14:paraId="076D3835" w14:textId="77777777" w:rsidR="00790730" w:rsidRDefault="00790730" w:rsidP="009035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6D3951">
        <w:rPr>
          <w:rFonts w:ascii="Times New Roman" w:hAnsi="Times New Roman" w:cs="Times New Roman"/>
          <w:sz w:val="24"/>
          <w:szCs w:val="24"/>
        </w:rPr>
        <w:t xml:space="preserve">Вторая – критическое отставание в цифровизации: рейтинг мобильного приложения </w:t>
      </w:r>
      <w:proofErr w:type="spellStart"/>
      <w:r w:rsidRPr="006D3951">
        <w:rPr>
          <w:rFonts w:ascii="Times New Roman" w:hAnsi="Times New Roman" w:cs="Times New Roman"/>
          <w:sz w:val="24"/>
          <w:szCs w:val="24"/>
        </w:rPr>
        <w:t>Solid</w:t>
      </w:r>
      <w:proofErr w:type="spellEnd"/>
      <w:r w:rsidRPr="006D3951">
        <w:rPr>
          <w:rFonts w:ascii="Times New Roman" w:hAnsi="Times New Roman" w:cs="Times New Roman"/>
          <w:sz w:val="24"/>
          <w:szCs w:val="24"/>
        </w:rPr>
        <w:t xml:space="preserve"> Pay в </w:t>
      </w:r>
      <w:proofErr w:type="spellStart"/>
      <w:r w:rsidRPr="006D3951">
        <w:rPr>
          <w:rFonts w:ascii="Times New Roman" w:hAnsi="Times New Roman" w:cs="Times New Roman"/>
          <w:sz w:val="24"/>
          <w:szCs w:val="24"/>
        </w:rPr>
        <w:t>RuStore</w:t>
      </w:r>
      <w:proofErr w:type="spellEnd"/>
      <w:r w:rsidRPr="006D3951">
        <w:rPr>
          <w:rFonts w:ascii="Times New Roman" w:hAnsi="Times New Roman" w:cs="Times New Roman"/>
          <w:sz w:val="24"/>
          <w:szCs w:val="24"/>
        </w:rPr>
        <w:t xml:space="preserve"> составляет 2,4 из 5, а доля клиентов, пользующихся цифровыми каналами, не превышает 12 процентов. В то время как у федеральных конкурентов этот показатель превышает 80 процентов, наш банк продолжает работать преимущественно офлайн, что особенно остро ощущается в удалённых регионах вроде Камчатки.</w:t>
      </w:r>
    </w:p>
    <w:p w14:paraId="0412013B" w14:textId="77777777" w:rsidR="00903524" w:rsidRPr="00903524" w:rsidRDefault="00903524" w:rsidP="009035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14:paraId="41C5DBD9" w14:textId="77777777" w:rsidR="00790730" w:rsidRPr="006D3951" w:rsidRDefault="00790730" w:rsidP="006D39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951">
        <w:rPr>
          <w:rFonts w:ascii="Times New Roman" w:hAnsi="Times New Roman" w:cs="Times New Roman"/>
          <w:sz w:val="24"/>
          <w:szCs w:val="24"/>
        </w:rPr>
        <w:t>На основе PESTEL-анализа, модели пяти сил Портера и SNW-анализа мной была построена матрица SWOT и проведено сравнение с ключевыми конкурентами в Дальневосточном округе. Выяснилось, что при наименьших активах – 40 миллиардов рублей против 338 у Азиатско-Тихоокеанского банка – Солид Банк лидирует по рентабельности, но проигрывает в цифровой зрелости и рыночной доле. Это подтвердило необходимость не просто корректировки,</w:t>
      </w:r>
      <w:r w:rsidR="00903524">
        <w:rPr>
          <w:rFonts w:ascii="Times New Roman" w:hAnsi="Times New Roman" w:cs="Times New Roman"/>
          <w:sz w:val="24"/>
          <w:szCs w:val="24"/>
        </w:rPr>
        <w:t xml:space="preserve"> а смены стратегической модели.</w:t>
      </w:r>
    </w:p>
    <w:p w14:paraId="5E8FDC23" w14:textId="77777777" w:rsidR="00080188" w:rsidRPr="00080188" w:rsidRDefault="00790730" w:rsidP="000801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951">
        <w:rPr>
          <w:rFonts w:ascii="Times New Roman" w:hAnsi="Times New Roman" w:cs="Times New Roman"/>
          <w:sz w:val="24"/>
          <w:szCs w:val="24"/>
        </w:rPr>
        <w:t xml:space="preserve">В третьей главе я предложила переход к </w:t>
      </w:r>
      <w:r w:rsidRPr="00903524">
        <w:rPr>
          <w:rFonts w:ascii="Times New Roman" w:hAnsi="Times New Roman" w:cs="Times New Roman"/>
          <w:b/>
          <w:sz w:val="24"/>
          <w:szCs w:val="24"/>
        </w:rPr>
        <w:t>модели цифрового регионального банка с фокусированной дифференциацией</w:t>
      </w:r>
      <w:r w:rsidRPr="006D3951">
        <w:rPr>
          <w:rFonts w:ascii="Times New Roman" w:hAnsi="Times New Roman" w:cs="Times New Roman"/>
          <w:sz w:val="24"/>
          <w:szCs w:val="24"/>
        </w:rPr>
        <w:t xml:space="preserve">. Суть стратегии в том, чтобы не конкурировать с гигантами вроде Сбера или ВТБ по цене или широте продуктовой линейки, а сконцентрироваться на узком, но стратегически важном сегменте – участниках внешнеэкономической деятельности и малом бизнесе Дальнего Востока. Именно здесь у банка есть уникальные компетенции, </w:t>
      </w:r>
      <w:r w:rsidR="00903524">
        <w:rPr>
          <w:rFonts w:ascii="Times New Roman" w:hAnsi="Times New Roman" w:cs="Times New Roman"/>
          <w:sz w:val="24"/>
          <w:szCs w:val="24"/>
        </w:rPr>
        <w:t>и благодаря усилению</w:t>
      </w:r>
      <w:r w:rsidRPr="006D3951">
        <w:rPr>
          <w:rFonts w:ascii="Times New Roman" w:hAnsi="Times New Roman" w:cs="Times New Roman"/>
          <w:sz w:val="24"/>
          <w:szCs w:val="24"/>
        </w:rPr>
        <w:t xml:space="preserve"> цифровыми сервисами, </w:t>
      </w:r>
      <w:r w:rsidR="0028042D">
        <w:rPr>
          <w:rFonts w:ascii="Times New Roman" w:hAnsi="Times New Roman" w:cs="Times New Roman"/>
          <w:sz w:val="24"/>
          <w:szCs w:val="24"/>
        </w:rPr>
        <w:t xml:space="preserve">они </w:t>
      </w:r>
      <w:r w:rsidR="00903524">
        <w:rPr>
          <w:rFonts w:ascii="Times New Roman" w:hAnsi="Times New Roman" w:cs="Times New Roman"/>
          <w:sz w:val="24"/>
          <w:szCs w:val="24"/>
        </w:rPr>
        <w:t xml:space="preserve">будут </w:t>
      </w:r>
      <w:r w:rsidRPr="006D3951">
        <w:rPr>
          <w:rFonts w:ascii="Times New Roman" w:hAnsi="Times New Roman" w:cs="Times New Roman"/>
          <w:sz w:val="24"/>
          <w:szCs w:val="24"/>
        </w:rPr>
        <w:t>способны создать устойч</w:t>
      </w:r>
      <w:r w:rsidR="00903524">
        <w:rPr>
          <w:rFonts w:ascii="Times New Roman" w:hAnsi="Times New Roman" w:cs="Times New Roman"/>
          <w:sz w:val="24"/>
          <w:szCs w:val="24"/>
        </w:rPr>
        <w:t>ивое конкурентное преимущество.</w:t>
      </w:r>
    </w:p>
    <w:p w14:paraId="4FFD0F6B" w14:textId="77777777" w:rsidR="00790730" w:rsidRPr="008A2D26" w:rsidRDefault="00790730" w:rsidP="00903524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 w:rsidRPr="006D3951">
        <w:t xml:space="preserve">Практическая реализация стратегии представлена двумя взаимосвязанными инвестиционными проектами. Первый проект – «Цифровая экосистема» – предполагает создание полноценной платформы дистанционного обслуживания с </w:t>
      </w:r>
      <w:r w:rsidRPr="008A2D26">
        <w:rPr>
          <w:b/>
        </w:rPr>
        <w:t>биометрической идентификацией</w:t>
      </w:r>
      <w:r w:rsidR="008A2D26">
        <w:rPr>
          <w:b/>
          <w:vertAlign w:val="superscript"/>
        </w:rPr>
        <w:t>2</w:t>
      </w:r>
      <w:r w:rsidRPr="006D3951">
        <w:t xml:space="preserve">, </w:t>
      </w:r>
      <w:r w:rsidRPr="008A2D26">
        <w:rPr>
          <w:b/>
        </w:rPr>
        <w:t>открытыми API</w:t>
      </w:r>
      <w:r w:rsidR="008A2D26">
        <w:rPr>
          <w:b/>
          <w:vertAlign w:val="superscript"/>
        </w:rPr>
        <w:t>3</w:t>
      </w:r>
      <w:r w:rsidR="008A2D26">
        <w:t xml:space="preserve"> </w:t>
      </w:r>
      <w:r w:rsidRPr="006D3951">
        <w:t xml:space="preserve">и </w:t>
      </w:r>
      <w:r w:rsidRPr="008A2D26">
        <w:rPr>
          <w:b/>
        </w:rPr>
        <w:t>витриной нефинансовых сервисов</w:t>
      </w:r>
      <w:r w:rsidR="008A2D26">
        <w:rPr>
          <w:b/>
          <w:vertAlign w:val="superscript"/>
        </w:rPr>
        <w:t>4</w:t>
      </w:r>
      <w:r w:rsidR="008A2D26">
        <w:t xml:space="preserve"> </w:t>
      </w:r>
      <w:r w:rsidRPr="006D3951">
        <w:t>для предпринимателей: логистика, таможня, бухгалтерия. Бюджет капитальных затрат – 25,2 миллиона рублей, запуск запланирован на май 2027 года. Пилотной площадкой выбран Камчатский филиал. Это не случайно: его клиенты – рыбаки, туроператоры, портовые организации – месяцами находятся в море или на удалённых участках, и для них возможность дистанционно открыть счёт или провести платёж становится не просто удобством, а единственным сп</w:t>
      </w:r>
      <w:r w:rsidR="00903524">
        <w:t>особом взаимодействия с банком.</w:t>
      </w:r>
    </w:p>
    <w:p w14:paraId="3A455A82" w14:textId="77777777" w:rsidR="00080188" w:rsidRDefault="00790730" w:rsidP="000801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D3951">
        <w:rPr>
          <w:rFonts w:ascii="Times New Roman" w:hAnsi="Times New Roman" w:cs="Times New Roman"/>
          <w:sz w:val="24"/>
          <w:szCs w:val="24"/>
        </w:rPr>
        <w:t>Второй проект – «</w:t>
      </w:r>
      <w:r w:rsidRPr="008A2D26">
        <w:rPr>
          <w:rFonts w:ascii="Times New Roman" w:hAnsi="Times New Roman" w:cs="Times New Roman"/>
          <w:b/>
          <w:sz w:val="24"/>
          <w:szCs w:val="24"/>
        </w:rPr>
        <w:t>Скоринг на основе Big Data и машинного обучения</w:t>
      </w:r>
      <w:r w:rsidRPr="006D3951">
        <w:rPr>
          <w:rFonts w:ascii="Times New Roman" w:hAnsi="Times New Roman" w:cs="Times New Roman"/>
          <w:sz w:val="24"/>
          <w:szCs w:val="24"/>
        </w:rPr>
        <w:t>»</w:t>
      </w:r>
      <w:r w:rsidR="008A2D2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6D3951">
        <w:rPr>
          <w:rFonts w:ascii="Times New Roman" w:hAnsi="Times New Roman" w:cs="Times New Roman"/>
          <w:sz w:val="24"/>
          <w:szCs w:val="24"/>
        </w:rPr>
        <w:t xml:space="preserve"> – направлен на снижение просроченной задолженности. Модель на базе </w:t>
      </w:r>
      <w:r w:rsidRPr="008A2D26">
        <w:rPr>
          <w:rFonts w:ascii="Times New Roman" w:hAnsi="Times New Roman" w:cs="Times New Roman"/>
          <w:b/>
          <w:sz w:val="24"/>
          <w:szCs w:val="24"/>
        </w:rPr>
        <w:t>градиентного бустинга</w:t>
      </w:r>
      <w:r w:rsidR="008A2D2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6 </w:t>
      </w:r>
      <w:r w:rsidRPr="006D3951">
        <w:rPr>
          <w:rFonts w:ascii="Times New Roman" w:hAnsi="Times New Roman" w:cs="Times New Roman"/>
          <w:sz w:val="24"/>
          <w:szCs w:val="24"/>
        </w:rPr>
        <w:t xml:space="preserve">дополнена региональными факторами, </w:t>
      </w:r>
      <w:r w:rsidR="0028042D">
        <w:rPr>
          <w:rFonts w:ascii="Times New Roman" w:hAnsi="Times New Roman" w:cs="Times New Roman"/>
          <w:sz w:val="24"/>
          <w:szCs w:val="24"/>
        </w:rPr>
        <w:t xml:space="preserve">такими как </w:t>
      </w:r>
      <w:r w:rsidRPr="006D3951">
        <w:rPr>
          <w:rFonts w:ascii="Times New Roman" w:hAnsi="Times New Roman" w:cs="Times New Roman"/>
          <w:sz w:val="24"/>
          <w:szCs w:val="24"/>
        </w:rPr>
        <w:t>доля валютной выручк</w:t>
      </w:r>
      <w:r w:rsidR="0028042D">
        <w:rPr>
          <w:rFonts w:ascii="Times New Roman" w:hAnsi="Times New Roman" w:cs="Times New Roman"/>
          <w:sz w:val="24"/>
          <w:szCs w:val="24"/>
        </w:rPr>
        <w:t xml:space="preserve">и, сезонность рыбного промысла и туристического предпринимательства. </w:t>
      </w:r>
      <w:r w:rsidRPr="006D3951">
        <w:rPr>
          <w:rFonts w:ascii="Times New Roman" w:hAnsi="Times New Roman" w:cs="Times New Roman"/>
          <w:sz w:val="24"/>
          <w:szCs w:val="24"/>
        </w:rPr>
        <w:t xml:space="preserve">Эти поправки учитывают специфику дальневосточного бизнеса и позволяют точнее оценивать кредитный риск. Бюджет капитальных затрат – 18 миллионов рублей, запуск – январь 2028 года. Важно </w:t>
      </w:r>
      <w:r w:rsidRPr="006D3951">
        <w:rPr>
          <w:rFonts w:ascii="Times New Roman" w:hAnsi="Times New Roman" w:cs="Times New Roman"/>
          <w:sz w:val="24"/>
          <w:szCs w:val="24"/>
        </w:rPr>
        <w:lastRenderedPageBreak/>
        <w:t>подчеркнуть логику очерёдности: сначала цифровая экосистема накапливает массив данных о клиентах, а затем скоринг обучается на этой информации.</w:t>
      </w:r>
      <w:r w:rsidR="00080188" w:rsidRPr="000801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</w:p>
    <w:p w14:paraId="11ADF084" w14:textId="77777777" w:rsidR="00080188" w:rsidRPr="0028042D" w:rsidRDefault="00080188" w:rsidP="000801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28042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Экономическая эффективность проектов оценивалась методом дисконтированных денежных потоков. Как видно на слайде, все ключевые показатели подтверждают инвестиционную привлекательность проектов: чистая приведённая стоимость положительна, внутренняя норма доходности кратно превышает стоимость капитала, а дисконтированный срок окупаемости укладывается в стратегический горизонт планирования. Проекты полностью финансируются из собственной прибыли банка и даже в пиковый по инвестициям год не создают нагрузки на нормативы.</w:t>
      </w:r>
    </w:p>
    <w:p w14:paraId="58F0AFC6" w14:textId="77777777" w:rsidR="00080188" w:rsidRPr="0028042D" w:rsidRDefault="00080188" w:rsidP="00080188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28042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Согласно прогнозу, к 2030 году банк существенно улучшит качество кредитного портфеля, нарастит долю непроцентных доходов и сохранит рентабельность капитала на уровне, значительно превышающем среднеотраслевые значения.</w:t>
      </w:r>
    </w:p>
    <w:p w14:paraId="24942522" w14:textId="77777777" w:rsidR="00080188" w:rsidRDefault="00080188" w:rsidP="00080188">
      <w:pPr>
        <w:spacing w:line="240" w:lineRule="auto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080188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Проведённое исследование подтвердило, что стратегическое планирование и прогнозирование — это не вспомогательные, а системообразующие элементы экономической деятельности банка. Предлож</w:t>
      </w:r>
      <w:r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енные инвестиционные проекты </w:t>
      </w:r>
      <w:r w:rsidRPr="00080188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опираются на реальные финансовые показатели банка</w:t>
      </w:r>
      <w:r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- они</w:t>
      </w:r>
      <w:r w:rsidRPr="00080188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обеспечены его собственной прибылью и не нарушают нормативы. Это означает, что руководство АО «Солид Банк» может уже сегодня использовать их для укрепления позиций в регионе. </w:t>
      </w:r>
    </w:p>
    <w:p w14:paraId="626159E6" w14:textId="77777777" w:rsidR="00080188" w:rsidRPr="00080188" w:rsidRDefault="00080188" w:rsidP="000801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0188">
        <w:rPr>
          <w:rFonts w:ascii="Times New Roman" w:hAnsi="Times New Roman" w:cs="Times New Roman"/>
          <w:sz w:val="24"/>
          <w:szCs w:val="24"/>
        </w:rPr>
        <w:t>Доклад окончен. Спасибо за внимание!</w:t>
      </w:r>
    </w:p>
    <w:p w14:paraId="4BC2B082" w14:textId="77777777" w:rsidR="00D931A8" w:rsidRDefault="00D931A8" w:rsidP="006D39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6FA50E8" w14:textId="77777777" w:rsidR="00080188" w:rsidRDefault="00080188" w:rsidP="000801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BFE9A6A" w14:textId="77777777" w:rsidR="00080188" w:rsidRPr="006D3951" w:rsidRDefault="00080188" w:rsidP="000801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r w:rsidRPr="00903524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информации на 1 января 2026 года, объём просроченной задолженности физических лиц перед банками достиг </w:t>
      </w:r>
      <w:r w:rsidRPr="009035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1,65 трлн рублей</w:t>
      </w:r>
      <w:r w:rsidRPr="00903524">
        <w:rPr>
          <w:rFonts w:ascii="Times New Roman" w:eastAsia="Times New Roman" w:hAnsi="Times New Roman" w:cs="Times New Roman"/>
          <w:sz w:val="20"/>
          <w:szCs w:val="20"/>
          <w:lang w:eastAsia="ru-RU"/>
        </w:rPr>
        <w:t>, рост за 2025 год — 29,24%. Доля просрочки также показала рекордное увеличение за последние шесть лет: 1 января 2025 года показатель составлял 3,64%, 1 января 2026 года — достиг </w:t>
      </w:r>
      <w:r w:rsidRPr="009035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4,57%</w:t>
      </w:r>
      <w:r w:rsidRPr="00903524">
        <w:rPr>
          <w:rFonts w:ascii="Times New Roman" w:eastAsia="Times New Roman" w:hAnsi="Times New Roman" w:cs="Times New Roman"/>
          <w:sz w:val="20"/>
          <w:szCs w:val="20"/>
          <w:lang w:eastAsia="ru-RU"/>
        </w:rPr>
        <w:t>. Рост «плохих» долгов в 2025 году обусловлен двумя факторами: активным кредитованием (в том числе льготной ипотекой) 2020–2024 годов и сжатием доходов: замедлением экономики и высокой инфляцией, которые снизили способность населения обслуживать имеющиеся долги.</w:t>
      </w:r>
    </w:p>
    <w:p w14:paraId="0176AEF3" w14:textId="77777777" w:rsidR="00D931A8" w:rsidRPr="00D931A8" w:rsidRDefault="008A2D26" w:rsidP="00D931A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931A8">
        <w:rPr>
          <w:rFonts w:ascii="Times New Roman" w:hAnsi="Times New Roman" w:cs="Times New Roman"/>
          <w:sz w:val="16"/>
          <w:szCs w:val="16"/>
        </w:rPr>
        <w:t xml:space="preserve">2. Это технология, которая позволяет банку узнать клиента без его личного присутствия — по лицу или голосу. Клиенту больше не нужно идти в офис с паспортом, чтобы открыть счёт или взять кредит. Достаточно один раз зарегистрировать свою биометрию (лицо и голос) через приложение банка или в любом уполномоченном банке, и дальше все операции можно совершать удалённо. </w:t>
      </w:r>
    </w:p>
    <w:p w14:paraId="41225CF8" w14:textId="77777777" w:rsidR="00790730" w:rsidRPr="00D931A8" w:rsidRDefault="008A2D26" w:rsidP="00D931A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931A8">
        <w:rPr>
          <w:rStyle w:val="a3"/>
          <w:rFonts w:ascii="Times New Roman" w:hAnsi="Times New Roman" w:cs="Times New Roman"/>
          <w:sz w:val="16"/>
          <w:szCs w:val="16"/>
        </w:rPr>
        <w:t>Как работает.</w:t>
      </w:r>
      <w:r w:rsidRPr="00D931A8">
        <w:rPr>
          <w:rFonts w:ascii="Times New Roman" w:hAnsi="Times New Roman" w:cs="Times New Roman"/>
          <w:sz w:val="16"/>
          <w:szCs w:val="16"/>
        </w:rPr>
        <w:t xml:space="preserve"> Клиент скачивает приложение </w:t>
      </w:r>
      <w:proofErr w:type="spellStart"/>
      <w:r w:rsidRPr="00D931A8">
        <w:rPr>
          <w:rFonts w:ascii="Times New Roman" w:hAnsi="Times New Roman" w:cs="Times New Roman"/>
          <w:sz w:val="16"/>
          <w:szCs w:val="16"/>
        </w:rPr>
        <w:t>SolidPay</w:t>
      </w:r>
      <w:proofErr w:type="spellEnd"/>
      <w:r w:rsidRPr="00D931A8">
        <w:rPr>
          <w:rFonts w:ascii="Times New Roman" w:hAnsi="Times New Roman" w:cs="Times New Roman"/>
          <w:sz w:val="16"/>
          <w:szCs w:val="16"/>
        </w:rPr>
        <w:t>, проходит процедуру идентификации: камера телефона сканирует его лицо, микрофон записывает голос. Система сверяет эти данные с эталоном, хранящимся в государственной Единой биометрической системе. Если данные совпали — клиент получает доступ ко всем услугам банка, как если бы он лично пришёл в офис. Время открытия счёта сокращается до 15–20 минут вместо нескольких дней;</w:t>
      </w:r>
    </w:p>
    <w:p w14:paraId="5E5574E1" w14:textId="77777777" w:rsidR="00D931A8" w:rsidRPr="00D931A8" w:rsidRDefault="00D931A8" w:rsidP="00D931A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F71B86E" w14:textId="77777777" w:rsidR="008A2D26" w:rsidRPr="00D931A8" w:rsidRDefault="008A2D26" w:rsidP="00D931A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931A8">
        <w:rPr>
          <w:rFonts w:ascii="Times New Roman" w:hAnsi="Times New Roman" w:cs="Times New Roman"/>
          <w:sz w:val="16"/>
          <w:szCs w:val="16"/>
        </w:rPr>
        <w:t xml:space="preserve">3. API (Application </w:t>
      </w:r>
      <w:proofErr w:type="spellStart"/>
      <w:r w:rsidRPr="00D931A8">
        <w:rPr>
          <w:rFonts w:ascii="Times New Roman" w:hAnsi="Times New Roman" w:cs="Times New Roman"/>
          <w:sz w:val="16"/>
          <w:szCs w:val="16"/>
        </w:rPr>
        <w:t>Programming</w:t>
      </w:r>
      <w:proofErr w:type="spellEnd"/>
      <w:r w:rsidRPr="00D931A8">
        <w:rPr>
          <w:rFonts w:ascii="Times New Roman" w:hAnsi="Times New Roman" w:cs="Times New Roman"/>
          <w:sz w:val="16"/>
          <w:szCs w:val="16"/>
        </w:rPr>
        <w:t xml:space="preserve"> Interface) — это «мост», через который банк может безопасно обмениваться данными с другими системами: учётными программами клиентов, сервисами партнёров, государственными информационными системами. Открытые API позволяют клиенту видеть все свои счета и продукты в одном окне — например, прямо в своей бухгалтерской программе или в личном кабинете на сайте банка. </w:t>
      </w:r>
    </w:p>
    <w:p w14:paraId="18BCFB87" w14:textId="77777777" w:rsidR="008A2D26" w:rsidRPr="00D931A8" w:rsidRDefault="008A2D26" w:rsidP="00D931A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931A8">
        <w:rPr>
          <w:rStyle w:val="a3"/>
          <w:rFonts w:ascii="Times New Roman" w:hAnsi="Times New Roman" w:cs="Times New Roman"/>
          <w:sz w:val="16"/>
          <w:szCs w:val="16"/>
        </w:rPr>
        <w:t>Как работает.</w:t>
      </w:r>
      <w:r w:rsidRPr="00D931A8">
        <w:rPr>
          <w:rFonts w:ascii="Times New Roman" w:hAnsi="Times New Roman" w:cs="Times New Roman"/>
          <w:sz w:val="16"/>
          <w:szCs w:val="16"/>
        </w:rPr>
        <w:t> Предприниматель, который пользуется бухгалтерской программой (например, 1С), через API подключает её к своему банковскому счёту в Солид Банке. Платёжные поручения, выписки, остатки по счёту автоматически передаются в его учётную систему. Не нужно вручную скачивать и загружать файлы. Аналогично работают сервисы-партнёры: банк через API подключает страховую компанию, логистического оператора или таможенного брокера, и клиент может заказать их услуги прямо в приложении банка, без перехода на сторонние сайты;</w:t>
      </w:r>
    </w:p>
    <w:p w14:paraId="250A19ED" w14:textId="77777777" w:rsidR="008A2D26" w:rsidRPr="00D931A8" w:rsidRDefault="008A2D26" w:rsidP="00D931A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F914F33" w14:textId="77777777" w:rsidR="008A2D26" w:rsidRPr="00D931A8" w:rsidRDefault="008A2D26" w:rsidP="00D931A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931A8">
        <w:rPr>
          <w:rFonts w:ascii="Times New Roman" w:hAnsi="Times New Roman" w:cs="Times New Roman"/>
          <w:sz w:val="16"/>
          <w:szCs w:val="16"/>
        </w:rPr>
        <w:t xml:space="preserve">4. Это встроенный в приложение банка «магазин» дополнительных услуг, которые нужны бизнесу, но не относятся к банковским. Банк сам эти услуги не оказывает, а подключает проверенных партнёров — логистов, таможенных брокеров, бухгалтеров, страховые компании. Клиент получает всё в одном месте, а банк зарабатывает комиссию от партнёров за каждого привлечённого клиента. </w:t>
      </w:r>
    </w:p>
    <w:p w14:paraId="5498108C" w14:textId="77777777" w:rsidR="008A2D26" w:rsidRPr="00D931A8" w:rsidRDefault="008A2D26" w:rsidP="00D931A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931A8">
        <w:rPr>
          <w:rStyle w:val="a3"/>
          <w:rFonts w:ascii="Times New Roman" w:hAnsi="Times New Roman" w:cs="Times New Roman"/>
          <w:sz w:val="16"/>
          <w:szCs w:val="16"/>
        </w:rPr>
        <w:t>Как работает.</w:t>
      </w:r>
      <w:r w:rsidRPr="00D931A8">
        <w:rPr>
          <w:rFonts w:ascii="Times New Roman" w:hAnsi="Times New Roman" w:cs="Times New Roman"/>
          <w:sz w:val="16"/>
          <w:szCs w:val="16"/>
        </w:rPr>
        <w:t xml:space="preserve"> Предприниматель заходит в приложение </w:t>
      </w:r>
      <w:proofErr w:type="spellStart"/>
      <w:r w:rsidRPr="00D931A8">
        <w:rPr>
          <w:rFonts w:ascii="Times New Roman" w:hAnsi="Times New Roman" w:cs="Times New Roman"/>
          <w:sz w:val="16"/>
          <w:szCs w:val="16"/>
        </w:rPr>
        <w:t>SolidPay</w:t>
      </w:r>
      <w:proofErr w:type="spellEnd"/>
      <w:r w:rsidRPr="00D931A8">
        <w:rPr>
          <w:rFonts w:ascii="Times New Roman" w:hAnsi="Times New Roman" w:cs="Times New Roman"/>
          <w:sz w:val="16"/>
          <w:szCs w:val="16"/>
        </w:rPr>
        <w:t xml:space="preserve">, открывает раздел «Сервисы для бизнеса» и видит предложения: «Застраховать груз», «Рассчитать таможенные платежи», «Проверить контрагента», «Заказать бухгалтерскую отчётность». Выбрав нужную услугу, он оплачивает её прямо со своего счёта в банке, а партнёр получает заказ и выполняет его. Банк выступает посредником и получает комиссию от партнёра. </w:t>
      </w:r>
    </w:p>
    <w:p w14:paraId="68BFAD76" w14:textId="77777777" w:rsidR="008A2D26" w:rsidRPr="00D931A8" w:rsidRDefault="008A2D26" w:rsidP="00D931A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931A8">
        <w:rPr>
          <w:rStyle w:val="a3"/>
          <w:rFonts w:ascii="Times New Roman" w:hAnsi="Times New Roman" w:cs="Times New Roman"/>
          <w:sz w:val="16"/>
          <w:szCs w:val="16"/>
        </w:rPr>
        <w:t>Почему это важно.</w:t>
      </w:r>
      <w:r w:rsidRPr="00D931A8">
        <w:rPr>
          <w:rFonts w:ascii="Times New Roman" w:hAnsi="Times New Roman" w:cs="Times New Roman"/>
          <w:sz w:val="16"/>
          <w:szCs w:val="16"/>
        </w:rPr>
        <w:t> Это увеличивает долю комиссионных доходов банка (к 2030 году — до 28% от всех доходов) и снижает зависимость от волатильных валютных переоценок. Кроме того, чем больше сервисов клиент получает через банк, тем сложнее ему уйти к конкурентам — это формирует дополнительный барьер.</w:t>
      </w:r>
    </w:p>
    <w:p w14:paraId="1C6E8992" w14:textId="77777777" w:rsidR="008A2D26" w:rsidRPr="00D931A8" w:rsidRDefault="008A2D26" w:rsidP="00D931A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7A069A0" w14:textId="77777777" w:rsidR="008A2D26" w:rsidRPr="00D931A8" w:rsidRDefault="008A2D26" w:rsidP="00D931A8">
      <w:pPr>
        <w:pStyle w:val="ds-markdown-paragraph"/>
        <w:shd w:val="clear" w:color="auto" w:fill="FFFFFF"/>
        <w:spacing w:before="0" w:beforeAutospacing="0" w:after="0" w:afterAutospacing="0"/>
        <w:rPr>
          <w:sz w:val="16"/>
          <w:szCs w:val="16"/>
        </w:rPr>
      </w:pPr>
      <w:r w:rsidRPr="00D931A8">
        <w:rPr>
          <w:sz w:val="16"/>
          <w:szCs w:val="16"/>
        </w:rPr>
        <w:lastRenderedPageBreak/>
        <w:t xml:space="preserve">5. </w:t>
      </w:r>
      <w:r w:rsidRPr="00D931A8">
        <w:rPr>
          <w:rStyle w:val="a3"/>
          <w:sz w:val="16"/>
          <w:szCs w:val="16"/>
        </w:rPr>
        <w:t>Суть.</w:t>
      </w:r>
      <w:r w:rsidRPr="00D931A8">
        <w:rPr>
          <w:sz w:val="16"/>
          <w:szCs w:val="16"/>
        </w:rPr>
        <w:t xml:space="preserve"> Скоринг — это система оценки заёмщика, которая отвечает на вопрос: «Вернёт ли этот клиент кредит?». Традиционный скоринг опирается на ограниченный набор данных — в основном финансовую отчётность и кредитную историю. Скоринг на основе Big Data и машинного обучения идёт дальше: он анализирует сотни факторов, включая транзакционную активность, сезонность бизнеса, участие в госзакупках и даже поведенческие паттерны. Это позволяет точнее предсказать вероятность дефолта. </w:t>
      </w:r>
    </w:p>
    <w:p w14:paraId="4000F2D2" w14:textId="77777777" w:rsidR="008A2D26" w:rsidRPr="00D931A8" w:rsidRDefault="008A2D26" w:rsidP="00D931A8">
      <w:pPr>
        <w:pStyle w:val="ds-markdown-paragraph"/>
        <w:shd w:val="clear" w:color="auto" w:fill="FFFFFF"/>
        <w:spacing w:before="0" w:beforeAutospacing="0" w:after="0" w:afterAutospacing="0"/>
        <w:rPr>
          <w:sz w:val="16"/>
          <w:szCs w:val="16"/>
        </w:rPr>
      </w:pPr>
      <w:r w:rsidRPr="00D931A8">
        <w:rPr>
          <w:rStyle w:val="a3"/>
          <w:sz w:val="16"/>
          <w:szCs w:val="16"/>
        </w:rPr>
        <w:t>Как работает.</w:t>
      </w:r>
      <w:r w:rsidRPr="00D931A8">
        <w:rPr>
          <w:sz w:val="16"/>
          <w:szCs w:val="16"/>
        </w:rPr>
        <w:t xml:space="preserve"> Система собирает данные из множества источников: внутренняя информация банка (движение по счетам, история платежей), внешние источники (ФНС, ЕГРЮЛ, бюро кредитных историй), альтернативные данные (участие в госзакупках, сезонность отрасли). Затем алгоритмы машинного обучения анализируют эти данные, находят скрытые закономерности и выдают скоринговый балл — чем он выше, тем надёжнее заёмщик. Решение по стандартным кредитам принимается автоматически, без участия человека. </w:t>
      </w:r>
      <w:r w:rsidRPr="00D931A8">
        <w:rPr>
          <w:rStyle w:val="a3"/>
          <w:sz w:val="16"/>
          <w:szCs w:val="16"/>
        </w:rPr>
        <w:t>Почему это важно.</w:t>
      </w:r>
      <w:r w:rsidRPr="00D931A8">
        <w:rPr>
          <w:sz w:val="16"/>
          <w:szCs w:val="16"/>
        </w:rPr>
        <w:t> Точность прогноза повышается, уровень просроченной задолженности снижается (в нашем прогнозе — с 7% до 4%), а время рассмотрения заявки сокращается с 48 часов до 4 часов.</w:t>
      </w:r>
    </w:p>
    <w:p w14:paraId="7F703801" w14:textId="77777777" w:rsidR="008A2D26" w:rsidRPr="00D931A8" w:rsidRDefault="00D931A8" w:rsidP="00D931A8">
      <w:pPr>
        <w:pStyle w:val="ds-markdown-paragraph"/>
        <w:shd w:val="clear" w:color="auto" w:fill="FFFFFF"/>
        <w:spacing w:after="0" w:afterAutospacing="0"/>
        <w:rPr>
          <w:sz w:val="16"/>
          <w:szCs w:val="16"/>
        </w:rPr>
      </w:pPr>
      <w:r w:rsidRPr="00D931A8">
        <w:rPr>
          <w:sz w:val="16"/>
          <w:szCs w:val="16"/>
        </w:rPr>
        <w:t xml:space="preserve">6. </w:t>
      </w:r>
      <w:r w:rsidRPr="00D931A8">
        <w:rPr>
          <w:b/>
          <w:bCs/>
          <w:sz w:val="16"/>
          <w:szCs w:val="16"/>
        </w:rPr>
        <w:t xml:space="preserve">Градиентный </w:t>
      </w:r>
      <w:proofErr w:type="spellStart"/>
      <w:r w:rsidRPr="00D931A8">
        <w:rPr>
          <w:b/>
          <w:bCs/>
          <w:sz w:val="16"/>
          <w:szCs w:val="16"/>
        </w:rPr>
        <w:t>бустинг</w:t>
      </w:r>
      <w:proofErr w:type="spellEnd"/>
      <w:r w:rsidRPr="00D931A8">
        <w:rPr>
          <w:sz w:val="16"/>
          <w:szCs w:val="16"/>
        </w:rPr>
        <w:t> — это алгоритм, который строит цепочку моделей, где каждая следующая исправляет ошибки предыдущей. Как команда следователей, которые по очереди улучшают расследование. В итоге получается очень точный прогноз.</w:t>
      </w:r>
    </w:p>
    <w:p w14:paraId="0F2176C7" w14:textId="77777777" w:rsidR="00080188" w:rsidRDefault="00080188" w:rsidP="00D931A8">
      <w:pPr>
        <w:pStyle w:val="ds-markdown-paragraph"/>
        <w:shd w:val="clear" w:color="auto" w:fill="FFFFFF"/>
        <w:spacing w:before="0" w:beforeAutospacing="0" w:after="0" w:afterAutospacing="0"/>
        <w:rPr>
          <w:sz w:val="16"/>
          <w:szCs w:val="16"/>
        </w:rPr>
      </w:pPr>
    </w:p>
    <w:p w14:paraId="11D65FE0" w14:textId="77777777" w:rsidR="00D931A8" w:rsidRPr="00D931A8" w:rsidRDefault="00D931A8" w:rsidP="00D931A8">
      <w:pPr>
        <w:pStyle w:val="ds-markdown-paragraph"/>
        <w:shd w:val="clear" w:color="auto" w:fill="FFFFFF"/>
        <w:spacing w:before="0" w:beforeAutospacing="0" w:after="0" w:afterAutospacing="0"/>
        <w:rPr>
          <w:sz w:val="16"/>
          <w:szCs w:val="16"/>
        </w:rPr>
      </w:pPr>
      <w:r w:rsidRPr="00D931A8">
        <w:rPr>
          <w:sz w:val="16"/>
          <w:szCs w:val="16"/>
        </w:rPr>
        <w:t>7.</w:t>
      </w:r>
      <w:r w:rsidRPr="00D931A8">
        <w:rPr>
          <w:rStyle w:val="a4"/>
          <w:color w:val="auto"/>
          <w:sz w:val="16"/>
          <w:szCs w:val="16"/>
        </w:rPr>
        <w:t xml:space="preserve"> </w:t>
      </w:r>
      <w:r w:rsidRPr="00D931A8">
        <w:rPr>
          <w:b/>
          <w:bCs/>
          <w:sz w:val="16"/>
          <w:szCs w:val="16"/>
        </w:rPr>
        <w:t>Первая причина — макроэкономическая.</w:t>
      </w:r>
      <w:r w:rsidRPr="00D931A8">
        <w:rPr>
          <w:sz w:val="16"/>
          <w:szCs w:val="16"/>
        </w:rPr>
        <w:t> На момент выполнения работы ключевая ставка Банка России составляла 21%. Это безрисковая доходность, которую может получить любой инвестор, просто разместив деньги на депозите или в облигациях федерального займа. Проекты банка — это не безрисковые вложения, а инвестиции в цифровую трансформацию с присущими им рисками: технологическими, операционными, рыночными. Поэтому инвестор (акционер банка) ожидает доходность выше безрисковой — как минимум на уровне ключевой ставки плюс премия за риск.</w:t>
      </w:r>
    </w:p>
    <w:p w14:paraId="6828D4F6" w14:textId="77777777" w:rsidR="00D931A8" w:rsidRPr="00D931A8" w:rsidRDefault="00D931A8" w:rsidP="00D93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931A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Вторая причина — оценка риска.</w:t>
      </w:r>
      <w:r w:rsidRPr="00D931A8">
        <w:rPr>
          <w:rFonts w:ascii="Times New Roman" w:eastAsia="Times New Roman" w:hAnsi="Times New Roman" w:cs="Times New Roman"/>
          <w:sz w:val="16"/>
          <w:szCs w:val="16"/>
          <w:lang w:eastAsia="ru-RU"/>
        </w:rPr>
        <w:t> У нашего банка кредитный рейтинг ruBB от агентства «Эксперт РА». Это спекулятивный уровень, означающий повышенный, но не критический риск. Инвесторы, вкладывающие в банк с таким рейтингом, требуют дополнительную компенсацию за этот риск — ту самую премию. Поэтому мы взяли ключевую ставку 21% как базу и добавили к ней премию за риск. В итоге требуемая доходность для нашего банка составляет около 20%.</w:t>
      </w:r>
    </w:p>
    <w:p w14:paraId="017ED13D" w14:textId="77777777" w:rsidR="00D931A8" w:rsidRPr="00D931A8" w:rsidRDefault="00D931A8" w:rsidP="00D93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931A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Почему 20%, а не выше?</w:t>
      </w:r>
      <w:r w:rsidRPr="00D931A8">
        <w:rPr>
          <w:rFonts w:ascii="Times New Roman" w:eastAsia="Times New Roman" w:hAnsi="Times New Roman" w:cs="Times New Roman"/>
          <w:sz w:val="16"/>
          <w:szCs w:val="16"/>
          <w:lang w:eastAsia="ru-RU"/>
        </w:rPr>
        <w:t> При ставке 21% мы могли бы взять 25% или даже 30%, но тогда почти любой проект показал бы отрицательный результат. Мы сознательно выбрали консервативный, но не заградительный уровень. Расчёт показал, что даже при такой высокой планке проекты окупаются: чистая приведённая стоимость положительная (141 млн руб.), а внутренняя норма доходности (68%) значительно превышает и 20%, и 21%.</w:t>
      </w:r>
    </w:p>
    <w:p w14:paraId="792DCBE7" w14:textId="77777777" w:rsidR="00D931A8" w:rsidRPr="00D931A8" w:rsidRDefault="00D931A8" w:rsidP="00D93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931A8">
        <w:rPr>
          <w:rFonts w:ascii="Times New Roman" w:eastAsia="Times New Roman" w:hAnsi="Times New Roman" w:cs="Times New Roman"/>
          <w:sz w:val="16"/>
          <w:szCs w:val="16"/>
          <w:lang w:eastAsia="ru-RU"/>
        </w:rPr>
        <w:t>Таким образом, 20% — это не случайная цифра, а экономически обоснованная ставка, которая говорит: «Мы требуем от проектов доходность не ниже, чем могли бы получить, просто разместив деньги на депозите под ключевую ставку, плюс небольшая премия за то, что мы рискуем, вкладывая в цифровую трансформацию».</w:t>
      </w:r>
    </w:p>
    <w:p w14:paraId="6CF44657" w14:textId="77777777" w:rsidR="00D931A8" w:rsidRPr="00D931A8" w:rsidRDefault="00D931A8" w:rsidP="00D931A8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14:paraId="723B72B6" w14:textId="77777777" w:rsidR="00D931A8" w:rsidRPr="00D931A8" w:rsidRDefault="00D931A8" w:rsidP="006D3951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D931A8">
        <w:rPr>
          <w:rFonts w:ascii="Times New Roman" w:hAnsi="Times New Roman" w:cs="Times New Roman"/>
          <w:sz w:val="16"/>
          <w:szCs w:val="16"/>
        </w:rPr>
        <w:t>8.</w:t>
      </w:r>
      <w:r w:rsidRPr="00D931A8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По итогам 2025 года банк заработал 2,65 миллиарда рублей чистой прибыли, а максимальные инвестиционные затраты в 2026 году составляют 25,8 миллиона рублей. Это менее одного процента от прибыли — сопоставимо с ситуацией, когда человек с зарплатой в 100 тысяч рублей тратит на важную покупку меньше тысячи. Такие вложения никак не давят на капитал банка, и норматив достаточности (Н1.0) остаётся на комфортном уровне выше 20 процентов при минимальном требовании 8 процентов. Именно поэтому нам не потребовалось привлекать заёмные средства</w:t>
      </w:r>
    </w:p>
    <w:p w14:paraId="27F7DE5F" w14:textId="77777777" w:rsidR="00790730" w:rsidRDefault="00790730" w:rsidP="006D39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A828A21" w14:textId="77777777" w:rsidR="008973EB" w:rsidRPr="006D3951" w:rsidRDefault="008973EB" w:rsidP="006D39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973EB" w:rsidRPr="006D3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5F6E1F"/>
    <w:multiLevelType w:val="multilevel"/>
    <w:tmpl w:val="D3AE6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5484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E19"/>
    <w:rsid w:val="00045F8D"/>
    <w:rsid w:val="00080188"/>
    <w:rsid w:val="000E5DF3"/>
    <w:rsid w:val="001623A4"/>
    <w:rsid w:val="00201E19"/>
    <w:rsid w:val="0028042D"/>
    <w:rsid w:val="0060167D"/>
    <w:rsid w:val="006D3951"/>
    <w:rsid w:val="00790730"/>
    <w:rsid w:val="008973EB"/>
    <w:rsid w:val="008A2D26"/>
    <w:rsid w:val="008D6C71"/>
    <w:rsid w:val="00903524"/>
    <w:rsid w:val="00A1002F"/>
    <w:rsid w:val="00D931A8"/>
    <w:rsid w:val="00EC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D7E8F"/>
  <w15:docId w15:val="{62224636-B272-4515-88B7-2F260C005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3524"/>
    <w:rPr>
      <w:b/>
      <w:bCs/>
    </w:rPr>
  </w:style>
  <w:style w:type="character" w:styleId="a4">
    <w:name w:val="Hyperlink"/>
    <w:basedOn w:val="a0"/>
    <w:uiPriority w:val="99"/>
    <w:semiHidden/>
    <w:unhideWhenUsed/>
    <w:rsid w:val="00903524"/>
    <w:rPr>
      <w:color w:val="0000FF"/>
      <w:u w:val="single"/>
    </w:rPr>
  </w:style>
  <w:style w:type="paragraph" w:customStyle="1" w:styleId="ds-markdown-paragraph">
    <w:name w:val="ds-markdown-paragraph"/>
    <w:basedOn w:val="a"/>
    <w:rsid w:val="0090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173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48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021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3</Pages>
  <Words>1809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Екатерина Бровкина</cp:lastModifiedBy>
  <cp:revision>6</cp:revision>
  <dcterms:created xsi:type="dcterms:W3CDTF">2026-06-08T06:53:00Z</dcterms:created>
  <dcterms:modified xsi:type="dcterms:W3CDTF">2026-06-18T23:03:00Z</dcterms:modified>
</cp:coreProperties>
</file>